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82732"/>
    <w:p w14:paraId="7C558B98">
      <w:pPr>
        <w:jc w:val="both"/>
        <w:rPr>
          <w:rFonts w:hint="eastAsia" w:ascii="黑体" w:hAnsi="黑体" w:eastAsia="黑体" w:cs="黑体"/>
          <w:b w:val="0"/>
          <w:bCs w:val="0"/>
          <w:sz w:val="32"/>
          <w:szCs w:val="40"/>
          <w:lang w:val="en-US" w:eastAsia="zh-CN"/>
        </w:rPr>
      </w:pPr>
      <w:bookmarkStart w:id="6" w:name="_GoBack"/>
      <w:r>
        <w:rPr>
          <w:rFonts w:hint="eastAsia" w:ascii="黑体" w:hAnsi="黑体" w:eastAsia="黑体" w:cs="黑体"/>
          <w:b w:val="0"/>
          <w:bCs w:val="0"/>
          <w:sz w:val="32"/>
          <w:szCs w:val="40"/>
          <w:lang w:val="en-US" w:eastAsia="zh-CN"/>
        </w:rPr>
        <w:t>附件</w:t>
      </w:r>
    </w:p>
    <w:bookmarkEnd w:id="6"/>
    <w:p w14:paraId="2A88BCE3">
      <w:pPr>
        <w:jc w:val="center"/>
        <w:rPr>
          <w:rFonts w:hint="eastAsia" w:ascii="方正小标宋_GBK" w:hAnsi="方正小标宋_GBK" w:eastAsia="方正小标宋_GBK" w:cs="方正小标宋_GBK"/>
          <w:b w:val="0"/>
          <w:bCs w:val="0"/>
          <w:sz w:val="40"/>
          <w:szCs w:val="48"/>
          <w:lang w:val="en-US" w:eastAsia="zh-CN"/>
        </w:rPr>
      </w:pPr>
      <w:r>
        <w:rPr>
          <w:rFonts w:hint="eastAsia" w:ascii="方正小标宋_GBK" w:hAnsi="方正小标宋_GBK" w:eastAsia="方正小标宋_GBK" w:cs="方正小标宋_GBK"/>
          <w:b w:val="0"/>
          <w:bCs w:val="0"/>
          <w:sz w:val="40"/>
          <w:szCs w:val="48"/>
          <w:lang w:val="en-US" w:eastAsia="zh-CN"/>
        </w:rPr>
        <w:t>一、项目清单</w:t>
      </w:r>
    </w:p>
    <w:tbl>
      <w:tblPr>
        <w:tblStyle w:val="11"/>
        <w:tblpPr w:leftFromText="180" w:rightFromText="180" w:vertAnchor="text" w:horzAnchor="page" w:tblpX="1097" w:tblpY="446"/>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87"/>
        <w:gridCol w:w="3611"/>
        <w:gridCol w:w="791"/>
        <w:gridCol w:w="1105"/>
        <w:gridCol w:w="1050"/>
        <w:gridCol w:w="1105"/>
      </w:tblGrid>
      <w:tr w14:paraId="20DC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48" w:type="dxa"/>
            <w:noWrap w:val="0"/>
            <w:vAlign w:val="center"/>
          </w:tcPr>
          <w:p w14:paraId="08301E2D">
            <w:pPr>
              <w:spacing w:line="400" w:lineRule="exact"/>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序号</w:t>
            </w:r>
          </w:p>
        </w:tc>
        <w:tc>
          <w:tcPr>
            <w:tcW w:w="1287" w:type="dxa"/>
            <w:noWrap w:val="0"/>
            <w:vAlign w:val="center"/>
          </w:tcPr>
          <w:p w14:paraId="78F2B1B3">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项目名称</w:t>
            </w:r>
          </w:p>
        </w:tc>
        <w:tc>
          <w:tcPr>
            <w:tcW w:w="3611" w:type="dxa"/>
            <w:noWrap w:val="0"/>
            <w:vAlign w:val="center"/>
          </w:tcPr>
          <w:p w14:paraId="4C4B7EB4">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 xml:space="preserve">规格  </w:t>
            </w:r>
            <w:r>
              <w:rPr>
                <w:rFonts w:hint="eastAsia" w:asciiTheme="majorEastAsia" w:hAnsiTheme="majorEastAsia" w:eastAsiaTheme="majorEastAsia" w:cstheme="majorEastAsia"/>
                <w:b w:val="0"/>
                <w:bCs w:val="0"/>
                <w:sz w:val="24"/>
                <w:szCs w:val="24"/>
                <w:lang w:val="en-US" w:eastAsia="zh-CN"/>
              </w:rPr>
              <w:t>品牌</w:t>
            </w:r>
          </w:p>
        </w:tc>
        <w:tc>
          <w:tcPr>
            <w:tcW w:w="791" w:type="dxa"/>
            <w:noWrap w:val="0"/>
            <w:vAlign w:val="center"/>
          </w:tcPr>
          <w:p w14:paraId="06A13948">
            <w:pPr>
              <w:spacing w:line="400" w:lineRule="exact"/>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单位</w:t>
            </w:r>
          </w:p>
        </w:tc>
        <w:tc>
          <w:tcPr>
            <w:tcW w:w="1105" w:type="dxa"/>
            <w:noWrap w:val="0"/>
            <w:vAlign w:val="center"/>
          </w:tcPr>
          <w:p w14:paraId="002C4DE1">
            <w:pPr>
              <w:spacing w:line="400" w:lineRule="exact"/>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数量</w:t>
            </w:r>
          </w:p>
        </w:tc>
        <w:tc>
          <w:tcPr>
            <w:tcW w:w="1050" w:type="dxa"/>
            <w:noWrap w:val="0"/>
            <w:vAlign w:val="center"/>
          </w:tcPr>
          <w:p w14:paraId="0F5AEEFD">
            <w:pPr>
              <w:spacing w:line="400" w:lineRule="exact"/>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单价</w:t>
            </w:r>
          </w:p>
        </w:tc>
        <w:tc>
          <w:tcPr>
            <w:tcW w:w="1105" w:type="dxa"/>
            <w:noWrap w:val="0"/>
            <w:vAlign w:val="center"/>
          </w:tcPr>
          <w:p w14:paraId="02920E4B">
            <w:pPr>
              <w:spacing w:line="400" w:lineRule="exact"/>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总价</w:t>
            </w:r>
          </w:p>
        </w:tc>
      </w:tr>
      <w:tr w14:paraId="36A8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97" w:type="dxa"/>
            <w:gridSpan w:val="7"/>
            <w:noWrap w:val="0"/>
            <w:vAlign w:val="center"/>
          </w:tcPr>
          <w:p w14:paraId="6F8B903A">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（一）旧档案密集架搬迁改造</w:t>
            </w:r>
          </w:p>
        </w:tc>
      </w:tr>
      <w:tr w14:paraId="1A33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748" w:type="dxa"/>
            <w:noWrap w:val="0"/>
            <w:vAlign w:val="center"/>
          </w:tcPr>
          <w:p w14:paraId="54A6BA73">
            <w:pPr>
              <w:pStyle w:val="9"/>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p>
        </w:tc>
        <w:tc>
          <w:tcPr>
            <w:tcW w:w="1287" w:type="dxa"/>
            <w:noWrap w:val="0"/>
            <w:vAlign w:val="center"/>
          </w:tcPr>
          <w:p w14:paraId="6C8C9AF5">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拆卸</w:t>
            </w:r>
          </w:p>
          <w:p w14:paraId="52F82772">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密集架</w:t>
            </w:r>
          </w:p>
        </w:tc>
        <w:tc>
          <w:tcPr>
            <w:tcW w:w="3611" w:type="dxa"/>
            <w:noWrap w:val="0"/>
            <w:vAlign w:val="center"/>
          </w:tcPr>
          <w:p w14:paraId="05DFF8F1">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13</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3F9090D3">
            <w:pPr>
              <w:spacing w:line="400" w:lineRule="exact"/>
              <w:ind w:firstLine="216" w:firstLineChars="100"/>
              <w:rPr>
                <w:rFonts w:hint="eastAsia"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组</w:t>
            </w:r>
          </w:p>
        </w:tc>
        <w:tc>
          <w:tcPr>
            <w:tcW w:w="1105" w:type="dxa"/>
            <w:noWrap w:val="0"/>
            <w:vAlign w:val="center"/>
          </w:tcPr>
          <w:p w14:paraId="0EAADE12">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7463119D">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7947BC78">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4D8E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748" w:type="dxa"/>
            <w:noWrap w:val="0"/>
            <w:vAlign w:val="center"/>
          </w:tcPr>
          <w:p w14:paraId="340F37A9">
            <w:pPr>
              <w:pStyle w:val="9"/>
              <w:ind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287" w:type="dxa"/>
            <w:noWrap w:val="0"/>
            <w:vAlign w:val="center"/>
          </w:tcPr>
          <w:p w14:paraId="6758318E">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安装</w:t>
            </w:r>
          </w:p>
          <w:p w14:paraId="323DADA9">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密集架</w:t>
            </w:r>
          </w:p>
        </w:tc>
        <w:tc>
          <w:tcPr>
            <w:tcW w:w="3611" w:type="dxa"/>
            <w:noWrap w:val="0"/>
            <w:vAlign w:val="center"/>
          </w:tcPr>
          <w:p w14:paraId="01971161">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13</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66839F6B">
            <w:pPr>
              <w:spacing w:line="400" w:lineRule="exact"/>
              <w:ind w:firstLine="216" w:firstLineChars="100"/>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组</w:t>
            </w:r>
          </w:p>
        </w:tc>
        <w:tc>
          <w:tcPr>
            <w:tcW w:w="1105" w:type="dxa"/>
            <w:noWrap w:val="0"/>
            <w:vAlign w:val="center"/>
          </w:tcPr>
          <w:p w14:paraId="774C542A">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3196A594">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57998188">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4DC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48" w:type="dxa"/>
            <w:noWrap w:val="0"/>
            <w:vAlign w:val="center"/>
          </w:tcPr>
          <w:p w14:paraId="27AD3FE8">
            <w:pPr>
              <w:pStyle w:val="9"/>
              <w:ind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287" w:type="dxa"/>
            <w:noWrap w:val="0"/>
            <w:vAlign w:val="center"/>
          </w:tcPr>
          <w:p w14:paraId="4D6572F9">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搬运</w:t>
            </w:r>
          </w:p>
          <w:p w14:paraId="51DC85CB">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密集架</w:t>
            </w:r>
          </w:p>
        </w:tc>
        <w:tc>
          <w:tcPr>
            <w:tcW w:w="3611" w:type="dxa"/>
            <w:noWrap w:val="0"/>
            <w:vAlign w:val="center"/>
          </w:tcPr>
          <w:p w14:paraId="05FDE0B0">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13</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2D54B972">
            <w:pPr>
              <w:spacing w:line="400" w:lineRule="exact"/>
              <w:ind w:firstLine="216" w:firstLineChars="100"/>
              <w:rPr>
                <w:rFonts w:hint="eastAsia"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项</w:t>
            </w:r>
          </w:p>
        </w:tc>
        <w:tc>
          <w:tcPr>
            <w:tcW w:w="1105" w:type="dxa"/>
            <w:noWrap w:val="0"/>
            <w:vAlign w:val="center"/>
          </w:tcPr>
          <w:p w14:paraId="595DE752">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078184CF">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1AC55318">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21E9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748" w:type="dxa"/>
            <w:noWrap w:val="0"/>
            <w:vAlign w:val="center"/>
          </w:tcPr>
          <w:p w14:paraId="2C5F8735">
            <w:pPr>
              <w:pStyle w:val="9"/>
              <w:ind w:firstLine="0" w:firstLine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1287" w:type="dxa"/>
            <w:noWrap w:val="0"/>
            <w:vAlign w:val="center"/>
          </w:tcPr>
          <w:p w14:paraId="7FC1592B">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运输</w:t>
            </w:r>
          </w:p>
        </w:tc>
        <w:tc>
          <w:tcPr>
            <w:tcW w:w="3611" w:type="dxa"/>
            <w:noWrap w:val="0"/>
            <w:vAlign w:val="center"/>
          </w:tcPr>
          <w:p w14:paraId="765E0863">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13</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025CD5C6">
            <w:pPr>
              <w:spacing w:line="400" w:lineRule="exact"/>
              <w:ind w:firstLine="216" w:firstLineChars="100"/>
              <w:rPr>
                <w:rFonts w:hint="eastAsia"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项</w:t>
            </w:r>
          </w:p>
        </w:tc>
        <w:tc>
          <w:tcPr>
            <w:tcW w:w="1105" w:type="dxa"/>
            <w:noWrap w:val="0"/>
            <w:vAlign w:val="center"/>
          </w:tcPr>
          <w:p w14:paraId="5A47263E">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2A383B36">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4095BD0B">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1C25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48" w:type="dxa"/>
            <w:noWrap w:val="0"/>
            <w:vAlign w:val="center"/>
          </w:tcPr>
          <w:p w14:paraId="3EFA35E2">
            <w:pPr>
              <w:pStyle w:val="9"/>
              <w:ind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1287" w:type="dxa"/>
            <w:noWrap w:val="0"/>
            <w:vAlign w:val="center"/>
          </w:tcPr>
          <w:p w14:paraId="33DF3FA9">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五金配件</w:t>
            </w:r>
          </w:p>
        </w:tc>
        <w:tc>
          <w:tcPr>
            <w:tcW w:w="3611" w:type="dxa"/>
            <w:noWrap w:val="0"/>
            <w:vAlign w:val="center"/>
          </w:tcPr>
          <w:p w14:paraId="6603A697">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13</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22E17FE0">
            <w:pPr>
              <w:spacing w:line="400" w:lineRule="exact"/>
              <w:ind w:firstLine="216" w:firstLineChars="100"/>
              <w:rPr>
                <w:rFonts w:hint="eastAsia"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项</w:t>
            </w:r>
          </w:p>
        </w:tc>
        <w:tc>
          <w:tcPr>
            <w:tcW w:w="1105" w:type="dxa"/>
            <w:noWrap w:val="0"/>
            <w:vAlign w:val="center"/>
          </w:tcPr>
          <w:p w14:paraId="2BB2702E">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21342C62">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2C83E6F0">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3F8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748" w:type="dxa"/>
            <w:noWrap w:val="0"/>
            <w:vAlign w:val="center"/>
          </w:tcPr>
          <w:p w14:paraId="091B3D16">
            <w:pPr>
              <w:pStyle w:val="9"/>
              <w:ind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1287" w:type="dxa"/>
            <w:noWrap w:val="0"/>
            <w:vAlign w:val="center"/>
          </w:tcPr>
          <w:p w14:paraId="396A61E9">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上油维护</w:t>
            </w:r>
          </w:p>
        </w:tc>
        <w:tc>
          <w:tcPr>
            <w:tcW w:w="3611" w:type="dxa"/>
            <w:noWrap w:val="0"/>
            <w:vAlign w:val="center"/>
          </w:tcPr>
          <w:p w14:paraId="5B1BED5B">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13</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1197ECDC">
            <w:pPr>
              <w:spacing w:line="400" w:lineRule="exact"/>
              <w:ind w:firstLine="216" w:firstLineChars="100"/>
              <w:rPr>
                <w:rFonts w:hint="eastAsia"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项</w:t>
            </w:r>
          </w:p>
        </w:tc>
        <w:tc>
          <w:tcPr>
            <w:tcW w:w="1105" w:type="dxa"/>
            <w:noWrap w:val="0"/>
            <w:vAlign w:val="center"/>
          </w:tcPr>
          <w:p w14:paraId="3D4EE81D">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1FC64839">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707D1FCE">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401B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8" w:type="dxa"/>
            <w:noWrap w:val="0"/>
            <w:vAlign w:val="center"/>
          </w:tcPr>
          <w:p w14:paraId="7A836286">
            <w:pPr>
              <w:pStyle w:val="9"/>
              <w:ind w:firstLine="0" w:firstLine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w:t>
            </w:r>
          </w:p>
        </w:tc>
        <w:tc>
          <w:tcPr>
            <w:tcW w:w="1287" w:type="dxa"/>
            <w:noWrap w:val="0"/>
            <w:vAlign w:val="center"/>
          </w:tcPr>
          <w:p w14:paraId="1DBCF8BC">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增加门板</w:t>
            </w:r>
          </w:p>
        </w:tc>
        <w:tc>
          <w:tcPr>
            <w:tcW w:w="3611" w:type="dxa"/>
            <w:noWrap w:val="0"/>
            <w:vAlign w:val="center"/>
          </w:tcPr>
          <w:p w14:paraId="62DD0F0C">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791" w:type="dxa"/>
            <w:noWrap w:val="0"/>
            <w:vAlign w:val="center"/>
          </w:tcPr>
          <w:p w14:paraId="616D941A">
            <w:pPr>
              <w:spacing w:line="400" w:lineRule="exact"/>
              <w:ind w:firstLine="216" w:firstLineChars="100"/>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扇</w:t>
            </w:r>
          </w:p>
        </w:tc>
        <w:tc>
          <w:tcPr>
            <w:tcW w:w="1105" w:type="dxa"/>
            <w:noWrap w:val="0"/>
            <w:vAlign w:val="center"/>
          </w:tcPr>
          <w:p w14:paraId="3D58FEE7">
            <w:pPr>
              <w:spacing w:line="400" w:lineRule="exact"/>
              <w:jc w:val="center"/>
              <w:rPr>
                <w:rFonts w:hint="default" w:asciiTheme="majorEastAsia" w:hAnsiTheme="majorEastAsia" w:eastAsiaTheme="majorEastAsia" w:cstheme="majorEastAsia"/>
                <w:b w:val="0"/>
                <w:bCs w:val="0"/>
                <w:w w:val="90"/>
                <w:sz w:val="24"/>
                <w:szCs w:val="24"/>
                <w:lang w:val="en-US" w:eastAsia="zh-CN"/>
              </w:rPr>
            </w:pPr>
          </w:p>
        </w:tc>
        <w:tc>
          <w:tcPr>
            <w:tcW w:w="1050" w:type="dxa"/>
            <w:noWrap w:val="0"/>
            <w:vAlign w:val="center"/>
          </w:tcPr>
          <w:p w14:paraId="74C6E9A1">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34BC7CF2">
            <w:pPr>
              <w:spacing w:line="400" w:lineRule="exact"/>
              <w:jc w:val="center"/>
              <w:rPr>
                <w:rFonts w:hint="default" w:asciiTheme="majorEastAsia" w:hAnsiTheme="majorEastAsia" w:eastAsiaTheme="majorEastAsia" w:cstheme="majorEastAsia"/>
                <w:b w:val="0"/>
                <w:bCs w:val="0"/>
                <w:sz w:val="24"/>
                <w:szCs w:val="24"/>
                <w:lang w:val="en-US" w:eastAsia="zh-CN"/>
              </w:rPr>
            </w:pPr>
          </w:p>
        </w:tc>
      </w:tr>
      <w:tr w14:paraId="6187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48" w:type="dxa"/>
            <w:noWrap w:val="0"/>
            <w:vAlign w:val="center"/>
          </w:tcPr>
          <w:p w14:paraId="5950E158">
            <w:pPr>
              <w:pStyle w:val="9"/>
              <w:ind w:firstLine="0" w:firstLine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1287" w:type="dxa"/>
            <w:noWrap w:val="0"/>
            <w:vAlign w:val="center"/>
          </w:tcPr>
          <w:p w14:paraId="6CF09599">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更换路轨</w:t>
            </w:r>
          </w:p>
        </w:tc>
        <w:tc>
          <w:tcPr>
            <w:tcW w:w="3611" w:type="dxa"/>
            <w:noWrap w:val="0"/>
            <w:vAlign w:val="center"/>
          </w:tcPr>
          <w:p w14:paraId="5BDFC136">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13排分成6排、7排两组摆放</w:t>
            </w:r>
          </w:p>
        </w:tc>
        <w:tc>
          <w:tcPr>
            <w:tcW w:w="791" w:type="dxa"/>
            <w:noWrap w:val="0"/>
            <w:vAlign w:val="center"/>
          </w:tcPr>
          <w:p w14:paraId="01F96182">
            <w:pPr>
              <w:spacing w:line="400" w:lineRule="exact"/>
              <w:ind w:firstLine="216" w:firstLineChars="100"/>
              <w:rPr>
                <w:rFonts w:hint="default" w:asciiTheme="majorEastAsia" w:hAnsiTheme="majorEastAsia" w:eastAsiaTheme="majorEastAsia" w:cstheme="majorEastAsia"/>
                <w:b w:val="0"/>
                <w:bCs w:val="0"/>
                <w:w w:val="90"/>
                <w:sz w:val="24"/>
                <w:szCs w:val="24"/>
                <w:lang w:val="en-US" w:eastAsia="zh-CN"/>
              </w:rPr>
            </w:pPr>
          </w:p>
        </w:tc>
        <w:tc>
          <w:tcPr>
            <w:tcW w:w="1105" w:type="dxa"/>
            <w:noWrap w:val="0"/>
            <w:vAlign w:val="center"/>
          </w:tcPr>
          <w:p w14:paraId="673A3C0D">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13</w:t>
            </w:r>
          </w:p>
        </w:tc>
        <w:tc>
          <w:tcPr>
            <w:tcW w:w="1050" w:type="dxa"/>
            <w:noWrap w:val="0"/>
            <w:vAlign w:val="center"/>
          </w:tcPr>
          <w:p w14:paraId="636DEB15">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shd w:val="clear" w:color="auto" w:fill="auto"/>
            <w:noWrap w:val="0"/>
            <w:vAlign w:val="center"/>
          </w:tcPr>
          <w:p w14:paraId="2B47EB8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14:paraId="003B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48" w:type="dxa"/>
            <w:shd w:val="clear" w:color="auto" w:fill="auto"/>
            <w:noWrap w:val="0"/>
            <w:vAlign w:val="center"/>
          </w:tcPr>
          <w:p w14:paraId="5CD85A5F">
            <w:pPr>
              <w:pStyle w:val="9"/>
              <w:ind w:firstLine="0" w:firstLineChars="0"/>
              <w:rPr>
                <w:rFonts w:hint="eastAsia" w:asciiTheme="majorEastAsia" w:hAnsiTheme="majorEastAsia" w:eastAsiaTheme="majorEastAsia" w:cstheme="majorEastAsia"/>
                <w:b/>
                <w:bCs/>
                <w:kern w:val="0"/>
                <w:sz w:val="24"/>
                <w:szCs w:val="24"/>
                <w:lang w:val="en-US" w:eastAsia="zh-CN" w:bidi="ar-SA"/>
              </w:rPr>
            </w:pPr>
          </w:p>
        </w:tc>
        <w:tc>
          <w:tcPr>
            <w:tcW w:w="1287" w:type="dxa"/>
            <w:shd w:val="clear" w:color="auto" w:fill="auto"/>
            <w:noWrap w:val="0"/>
            <w:vAlign w:val="center"/>
          </w:tcPr>
          <w:p w14:paraId="78ABE173">
            <w:pPr>
              <w:spacing w:line="400" w:lineRule="exact"/>
              <w:jc w:val="center"/>
              <w:rPr>
                <w:rFonts w:hint="eastAsia" w:asciiTheme="majorEastAsia" w:hAnsiTheme="majorEastAsia" w:eastAsiaTheme="majorEastAsia" w:cstheme="majorEastAsia"/>
                <w:b w:val="0"/>
                <w:bCs w:val="0"/>
                <w:kern w:val="2"/>
                <w:sz w:val="24"/>
                <w:szCs w:val="24"/>
                <w:lang w:val="en-US" w:eastAsia="zh-CN" w:bidi="ar-SA"/>
              </w:rPr>
            </w:pPr>
          </w:p>
        </w:tc>
        <w:tc>
          <w:tcPr>
            <w:tcW w:w="3611" w:type="dxa"/>
            <w:shd w:val="clear" w:color="auto" w:fill="auto"/>
            <w:noWrap w:val="0"/>
            <w:vAlign w:val="center"/>
          </w:tcPr>
          <w:p w14:paraId="6E1C84D8">
            <w:pPr>
              <w:spacing w:line="400" w:lineRule="exact"/>
              <w:jc w:val="center"/>
              <w:rPr>
                <w:rFonts w:hint="default" w:asciiTheme="majorEastAsia" w:hAnsiTheme="majorEastAsia" w:eastAsiaTheme="majorEastAsia" w:cstheme="majorEastAsia"/>
                <w:b w:val="0"/>
                <w:bCs w:val="0"/>
                <w:kern w:val="2"/>
                <w:sz w:val="24"/>
                <w:szCs w:val="24"/>
                <w:lang w:val="en-US" w:eastAsia="zh-CN" w:bidi="ar-SA"/>
              </w:rPr>
            </w:pPr>
          </w:p>
        </w:tc>
        <w:tc>
          <w:tcPr>
            <w:tcW w:w="791" w:type="dxa"/>
            <w:shd w:val="clear" w:color="auto" w:fill="auto"/>
            <w:noWrap w:val="0"/>
            <w:vAlign w:val="center"/>
          </w:tcPr>
          <w:p w14:paraId="20EE7314">
            <w:pPr>
              <w:spacing w:line="400" w:lineRule="exact"/>
              <w:ind w:firstLine="216" w:firstLineChars="100"/>
              <w:rPr>
                <w:rFonts w:hint="eastAsia" w:asciiTheme="majorEastAsia" w:hAnsiTheme="majorEastAsia" w:eastAsiaTheme="majorEastAsia" w:cstheme="majorEastAsia"/>
                <w:b w:val="0"/>
                <w:bCs w:val="0"/>
                <w:w w:val="90"/>
                <w:kern w:val="2"/>
                <w:sz w:val="24"/>
                <w:szCs w:val="24"/>
                <w:lang w:val="en-US" w:eastAsia="zh-CN" w:bidi="ar-SA"/>
              </w:rPr>
            </w:pPr>
          </w:p>
        </w:tc>
        <w:tc>
          <w:tcPr>
            <w:tcW w:w="1105" w:type="dxa"/>
            <w:noWrap w:val="0"/>
            <w:vAlign w:val="center"/>
          </w:tcPr>
          <w:p w14:paraId="2CBA0310">
            <w:pPr>
              <w:spacing w:line="400" w:lineRule="exact"/>
              <w:jc w:val="center"/>
              <w:rPr>
                <w:rFonts w:hint="default" w:asciiTheme="majorEastAsia" w:hAnsiTheme="majorEastAsia" w:eastAsiaTheme="majorEastAsia" w:cstheme="majorEastAsia"/>
                <w:b w:val="0"/>
                <w:bCs w:val="0"/>
                <w:w w:val="90"/>
                <w:sz w:val="24"/>
                <w:szCs w:val="24"/>
                <w:lang w:val="en-US" w:eastAsia="zh-CN"/>
              </w:rPr>
            </w:pPr>
          </w:p>
        </w:tc>
        <w:tc>
          <w:tcPr>
            <w:tcW w:w="1050" w:type="dxa"/>
            <w:noWrap w:val="0"/>
            <w:vAlign w:val="center"/>
          </w:tcPr>
          <w:p w14:paraId="404C6B9F">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shd w:val="clear" w:color="auto" w:fill="auto"/>
            <w:noWrap w:val="0"/>
            <w:vAlign w:val="center"/>
          </w:tcPr>
          <w:p w14:paraId="5AF233C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r>
      <w:tr w14:paraId="606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035" w:type="dxa"/>
            <w:gridSpan w:val="2"/>
            <w:noWrap w:val="0"/>
            <w:vAlign w:val="center"/>
          </w:tcPr>
          <w:p w14:paraId="5A1F717B">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小计</w:t>
            </w:r>
          </w:p>
        </w:tc>
        <w:tc>
          <w:tcPr>
            <w:tcW w:w="3611" w:type="dxa"/>
            <w:noWrap w:val="0"/>
            <w:vAlign w:val="center"/>
          </w:tcPr>
          <w:p w14:paraId="333F4A05">
            <w:pPr>
              <w:spacing w:line="400" w:lineRule="exact"/>
              <w:jc w:val="center"/>
              <w:rPr>
                <w:rFonts w:hint="eastAsia" w:asciiTheme="majorEastAsia" w:hAnsiTheme="majorEastAsia" w:eastAsiaTheme="majorEastAsia" w:cstheme="majorEastAsia"/>
                <w:b w:val="0"/>
                <w:bCs w:val="0"/>
                <w:sz w:val="24"/>
                <w:szCs w:val="24"/>
                <w:lang w:val="en-US" w:eastAsia="zh-CN"/>
              </w:rPr>
            </w:pPr>
          </w:p>
        </w:tc>
        <w:tc>
          <w:tcPr>
            <w:tcW w:w="791" w:type="dxa"/>
            <w:noWrap w:val="0"/>
            <w:vAlign w:val="center"/>
          </w:tcPr>
          <w:p w14:paraId="34A407D0">
            <w:pPr>
              <w:spacing w:line="400" w:lineRule="exact"/>
              <w:ind w:firstLine="216" w:firstLineChars="100"/>
              <w:rPr>
                <w:rFonts w:hint="eastAsia" w:asciiTheme="majorEastAsia" w:hAnsiTheme="majorEastAsia" w:eastAsiaTheme="majorEastAsia" w:cstheme="majorEastAsia"/>
                <w:b w:val="0"/>
                <w:bCs w:val="0"/>
                <w:w w:val="90"/>
                <w:sz w:val="24"/>
                <w:szCs w:val="24"/>
                <w:lang w:val="en-US" w:eastAsia="zh-CN"/>
              </w:rPr>
            </w:pPr>
          </w:p>
        </w:tc>
        <w:tc>
          <w:tcPr>
            <w:tcW w:w="1105" w:type="dxa"/>
            <w:noWrap w:val="0"/>
            <w:vAlign w:val="center"/>
          </w:tcPr>
          <w:p w14:paraId="16010E2A">
            <w:pPr>
              <w:spacing w:line="400" w:lineRule="exact"/>
              <w:jc w:val="center"/>
              <w:rPr>
                <w:rFonts w:hint="eastAsia" w:asciiTheme="majorEastAsia" w:hAnsiTheme="majorEastAsia" w:eastAsiaTheme="majorEastAsia" w:cstheme="majorEastAsia"/>
                <w:b w:val="0"/>
                <w:bCs w:val="0"/>
                <w:w w:val="90"/>
                <w:sz w:val="24"/>
                <w:szCs w:val="24"/>
                <w:lang w:val="en-US" w:eastAsia="zh-CN"/>
              </w:rPr>
            </w:pPr>
          </w:p>
        </w:tc>
        <w:tc>
          <w:tcPr>
            <w:tcW w:w="1050" w:type="dxa"/>
            <w:noWrap w:val="0"/>
            <w:vAlign w:val="center"/>
          </w:tcPr>
          <w:p w14:paraId="241D4A0C">
            <w:pPr>
              <w:spacing w:line="400" w:lineRule="exact"/>
              <w:jc w:val="center"/>
              <w:rPr>
                <w:rFonts w:hint="eastAsia" w:asciiTheme="majorEastAsia" w:hAnsiTheme="majorEastAsia" w:eastAsiaTheme="majorEastAsia" w:cstheme="majorEastAsia"/>
                <w:b w:val="0"/>
                <w:bCs w:val="0"/>
                <w:sz w:val="24"/>
                <w:szCs w:val="24"/>
                <w:lang w:val="en-US" w:eastAsia="zh-CN"/>
              </w:rPr>
            </w:pPr>
          </w:p>
        </w:tc>
        <w:tc>
          <w:tcPr>
            <w:tcW w:w="1105" w:type="dxa"/>
            <w:shd w:val="clear" w:color="auto" w:fill="auto"/>
            <w:noWrap w:val="0"/>
            <w:vAlign w:val="center"/>
          </w:tcPr>
          <w:p w14:paraId="2FAF98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089B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697" w:type="dxa"/>
            <w:gridSpan w:val="7"/>
            <w:noWrap w:val="0"/>
            <w:vAlign w:val="center"/>
          </w:tcPr>
          <w:p w14:paraId="3F2C1AA1">
            <w:pPr>
              <w:spacing w:line="400" w:lineRule="exact"/>
              <w:jc w:val="center"/>
              <w:rPr>
                <w:rFonts w:hint="default" w:ascii="宋体" w:hAnsi="宋体" w:eastAsia="宋体" w:cs="宋体"/>
                <w:i w:val="0"/>
                <w:iCs w:val="0"/>
                <w:color w:val="000000"/>
                <w:kern w:val="2"/>
                <w:sz w:val="22"/>
                <w:szCs w:val="22"/>
                <w:u w:val="none"/>
                <w:lang w:val="en-US" w:eastAsia="zh-CN" w:bidi="ar-SA"/>
              </w:rPr>
            </w:pPr>
            <w:r>
              <w:rPr>
                <w:rFonts w:hint="eastAsia" w:asciiTheme="majorEastAsia" w:hAnsiTheme="majorEastAsia" w:eastAsiaTheme="majorEastAsia" w:cstheme="majorEastAsia"/>
                <w:b/>
                <w:bCs/>
                <w:sz w:val="24"/>
                <w:szCs w:val="24"/>
                <w:lang w:val="en-US" w:eastAsia="zh-CN"/>
              </w:rPr>
              <w:t>（二）新增密集架</w:t>
            </w:r>
          </w:p>
        </w:tc>
      </w:tr>
      <w:tr w14:paraId="0F79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035" w:type="dxa"/>
            <w:gridSpan w:val="2"/>
            <w:noWrap w:val="0"/>
            <w:vAlign w:val="center"/>
          </w:tcPr>
          <w:p w14:paraId="5F14EABA">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双柱密集架</w:t>
            </w:r>
          </w:p>
        </w:tc>
        <w:tc>
          <w:tcPr>
            <w:tcW w:w="3611" w:type="dxa"/>
            <w:noWrap w:val="0"/>
            <w:vAlign w:val="center"/>
          </w:tcPr>
          <w:p w14:paraId="74DB5C80">
            <w:pPr>
              <w:spacing w:line="400" w:lineRule="exact"/>
              <w:jc w:val="both"/>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1271F0E5">
            <w:pPr>
              <w:spacing w:line="400" w:lineRule="exact"/>
              <w:ind w:firstLine="216" w:firstLineChars="100"/>
              <w:rPr>
                <w:rFonts w:hint="default" w:asciiTheme="majorEastAsia" w:hAnsiTheme="majorEastAsia" w:eastAsiaTheme="majorEastAsia" w:cstheme="majorEastAsia"/>
                <w:b w:val="0"/>
                <w:bCs w:val="0"/>
                <w:w w:val="90"/>
                <w:sz w:val="24"/>
                <w:szCs w:val="24"/>
                <w:lang w:val="en-US" w:eastAsia="zh-CN"/>
              </w:rPr>
            </w:pPr>
          </w:p>
        </w:tc>
        <w:tc>
          <w:tcPr>
            <w:tcW w:w="1105" w:type="dxa"/>
            <w:noWrap w:val="0"/>
            <w:vAlign w:val="center"/>
          </w:tcPr>
          <w:p w14:paraId="1EEB875F">
            <w:pPr>
              <w:spacing w:line="400" w:lineRule="exact"/>
              <w:jc w:val="center"/>
              <w:rPr>
                <w:rFonts w:hint="default" w:asciiTheme="majorEastAsia" w:hAnsiTheme="majorEastAsia" w:eastAsiaTheme="majorEastAsia" w:cstheme="majorEastAsia"/>
                <w:b w:val="0"/>
                <w:bCs w:val="0"/>
                <w:w w:val="90"/>
                <w:sz w:val="24"/>
                <w:szCs w:val="24"/>
                <w:lang w:val="en-US" w:eastAsia="zh-CN"/>
              </w:rPr>
            </w:pPr>
          </w:p>
        </w:tc>
        <w:tc>
          <w:tcPr>
            <w:tcW w:w="1050" w:type="dxa"/>
            <w:noWrap w:val="0"/>
            <w:vAlign w:val="center"/>
          </w:tcPr>
          <w:p w14:paraId="116DDE87">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shd w:val="clear" w:color="auto" w:fill="auto"/>
            <w:noWrap w:val="0"/>
            <w:vAlign w:val="center"/>
          </w:tcPr>
          <w:p w14:paraId="198892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0ECD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697" w:type="dxa"/>
            <w:gridSpan w:val="7"/>
            <w:noWrap w:val="0"/>
            <w:vAlign w:val="center"/>
          </w:tcPr>
          <w:p w14:paraId="27215DCF">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（三）新增保密柜</w:t>
            </w:r>
          </w:p>
        </w:tc>
      </w:tr>
      <w:tr w14:paraId="4941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48" w:type="dxa"/>
            <w:noWrap w:val="0"/>
            <w:vAlign w:val="center"/>
          </w:tcPr>
          <w:p w14:paraId="7C0027AF">
            <w:pPr>
              <w:pStyle w:val="9"/>
              <w:ind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287" w:type="dxa"/>
            <w:noWrap w:val="0"/>
            <w:vAlign w:val="center"/>
          </w:tcPr>
          <w:p w14:paraId="287BDC5B">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保密柜</w:t>
            </w:r>
          </w:p>
        </w:tc>
        <w:tc>
          <w:tcPr>
            <w:tcW w:w="3611" w:type="dxa"/>
            <w:noWrap w:val="0"/>
            <w:vAlign w:val="center"/>
          </w:tcPr>
          <w:p w14:paraId="1BC362CE">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791" w:type="dxa"/>
            <w:noWrap w:val="0"/>
            <w:vAlign w:val="center"/>
          </w:tcPr>
          <w:p w14:paraId="2D1E40C9">
            <w:pPr>
              <w:spacing w:line="400" w:lineRule="exact"/>
              <w:ind w:firstLine="216" w:firstLineChars="100"/>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个</w:t>
            </w:r>
          </w:p>
        </w:tc>
        <w:tc>
          <w:tcPr>
            <w:tcW w:w="1105" w:type="dxa"/>
            <w:noWrap w:val="0"/>
            <w:vAlign w:val="center"/>
          </w:tcPr>
          <w:p w14:paraId="5E4D3A54">
            <w:pPr>
              <w:spacing w:line="400" w:lineRule="exact"/>
              <w:jc w:val="center"/>
              <w:rPr>
                <w:rFonts w:hint="default" w:asciiTheme="majorEastAsia" w:hAnsiTheme="majorEastAsia" w:eastAsiaTheme="majorEastAsia" w:cstheme="majorEastAsia"/>
                <w:b w:val="0"/>
                <w:bCs w:val="0"/>
                <w:w w:val="90"/>
                <w:sz w:val="24"/>
                <w:szCs w:val="24"/>
                <w:lang w:val="en-US" w:eastAsia="zh-CN"/>
              </w:rPr>
            </w:pPr>
            <w:r>
              <w:rPr>
                <w:rFonts w:hint="eastAsia" w:asciiTheme="majorEastAsia" w:hAnsiTheme="majorEastAsia" w:eastAsiaTheme="majorEastAsia" w:cstheme="majorEastAsia"/>
                <w:b w:val="0"/>
                <w:bCs w:val="0"/>
                <w:w w:val="90"/>
                <w:sz w:val="24"/>
                <w:szCs w:val="24"/>
                <w:lang w:val="en-US" w:eastAsia="zh-CN"/>
              </w:rPr>
              <w:t>4</w:t>
            </w:r>
          </w:p>
        </w:tc>
        <w:tc>
          <w:tcPr>
            <w:tcW w:w="1050" w:type="dxa"/>
            <w:noWrap w:val="0"/>
            <w:vAlign w:val="center"/>
          </w:tcPr>
          <w:p w14:paraId="568E2C12">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1E781184">
            <w:pPr>
              <w:keepNext w:val="0"/>
              <w:keepLines w:val="0"/>
              <w:widowControl/>
              <w:suppressLineNumbers w:val="0"/>
              <w:jc w:val="center"/>
              <w:textAlignment w:val="center"/>
              <w:rPr>
                <w:rFonts w:hint="default" w:asciiTheme="majorEastAsia" w:hAnsiTheme="majorEastAsia" w:eastAsiaTheme="majorEastAsia" w:cstheme="majorEastAsia"/>
                <w:b w:val="0"/>
                <w:bCs w:val="0"/>
                <w:sz w:val="24"/>
                <w:szCs w:val="24"/>
                <w:lang w:val="en-US" w:eastAsia="zh-CN"/>
              </w:rPr>
            </w:pPr>
          </w:p>
        </w:tc>
      </w:tr>
      <w:tr w14:paraId="4930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697" w:type="dxa"/>
            <w:gridSpan w:val="7"/>
            <w:noWrap w:val="0"/>
            <w:vAlign w:val="center"/>
          </w:tcPr>
          <w:p w14:paraId="6CB64F5B">
            <w:pPr>
              <w:spacing w:line="400" w:lineRule="exact"/>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（四）新增底图柜</w:t>
            </w:r>
          </w:p>
        </w:tc>
      </w:tr>
      <w:tr w14:paraId="3801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48" w:type="dxa"/>
            <w:noWrap w:val="0"/>
            <w:vAlign w:val="center"/>
          </w:tcPr>
          <w:p w14:paraId="6B3DE1A9">
            <w:pPr>
              <w:pStyle w:val="9"/>
              <w:ind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287" w:type="dxa"/>
            <w:noWrap w:val="0"/>
            <w:vAlign w:val="center"/>
          </w:tcPr>
          <w:p w14:paraId="54CDD87D">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底图柜</w:t>
            </w:r>
          </w:p>
        </w:tc>
        <w:tc>
          <w:tcPr>
            <w:tcW w:w="3611" w:type="dxa"/>
            <w:noWrap w:val="0"/>
            <w:vAlign w:val="center"/>
          </w:tcPr>
          <w:p w14:paraId="19917FCC">
            <w:pPr>
              <w:spacing w:line="400" w:lineRule="exact"/>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rPr>
              <w:t>长</w:t>
            </w:r>
            <w:r>
              <w:rPr>
                <w:rFonts w:hint="eastAsia" w:asciiTheme="majorEastAsia" w:hAnsiTheme="majorEastAsia" w:eastAsiaTheme="majorEastAsia" w:cstheme="majorEastAsia"/>
                <w:b w:val="0"/>
                <w:bCs w:val="0"/>
                <w:sz w:val="24"/>
                <w:szCs w:val="24"/>
                <w:lang w:val="en-US" w:eastAsia="zh-CN"/>
              </w:rPr>
              <w:t>6.6米</w:t>
            </w:r>
            <w:r>
              <w:rPr>
                <w:rFonts w:hint="eastAsia" w:asciiTheme="majorEastAsia" w:hAnsiTheme="majorEastAsia" w:eastAsiaTheme="majorEastAsia" w:cstheme="majorEastAsia"/>
                <w:b w:val="0"/>
                <w:bCs w:val="0"/>
                <w:sz w:val="24"/>
                <w:szCs w:val="24"/>
              </w:rPr>
              <w:t>×高</w:t>
            </w:r>
            <w:r>
              <w:rPr>
                <w:rFonts w:hint="eastAsia" w:asciiTheme="majorEastAsia" w:hAnsiTheme="majorEastAsia" w:eastAsiaTheme="majorEastAsia" w:cstheme="majorEastAsia"/>
                <w:b w:val="0"/>
                <w:bCs w:val="0"/>
                <w:sz w:val="24"/>
                <w:szCs w:val="24"/>
                <w:lang w:val="en-US" w:eastAsia="zh-CN"/>
              </w:rPr>
              <w:t>2.4</w:t>
            </w:r>
            <w:r>
              <w:rPr>
                <w:rFonts w:hint="eastAsia" w:asciiTheme="majorEastAsia" w:hAnsiTheme="majorEastAsia" w:eastAsiaTheme="majorEastAsia" w:cstheme="majorEastAsia"/>
                <w:b w:val="0"/>
                <w:bCs w:val="0"/>
                <w:sz w:val="24"/>
                <w:szCs w:val="24"/>
              </w:rPr>
              <w:t>米×</w:t>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rPr>
              <w:t>排</w:t>
            </w:r>
          </w:p>
        </w:tc>
        <w:tc>
          <w:tcPr>
            <w:tcW w:w="791" w:type="dxa"/>
            <w:noWrap w:val="0"/>
            <w:vAlign w:val="center"/>
          </w:tcPr>
          <w:p w14:paraId="4676A86C">
            <w:pPr>
              <w:spacing w:line="400" w:lineRule="exact"/>
              <w:ind w:firstLine="216" w:firstLineChars="100"/>
              <w:rPr>
                <w:rFonts w:hint="default" w:asciiTheme="majorEastAsia" w:hAnsiTheme="majorEastAsia" w:eastAsiaTheme="majorEastAsia" w:cstheme="majorEastAsia"/>
                <w:b w:val="0"/>
                <w:bCs w:val="0"/>
                <w:w w:val="90"/>
                <w:sz w:val="24"/>
                <w:szCs w:val="24"/>
                <w:lang w:val="en-US" w:eastAsia="zh-CN"/>
              </w:rPr>
            </w:pPr>
          </w:p>
        </w:tc>
        <w:tc>
          <w:tcPr>
            <w:tcW w:w="1105" w:type="dxa"/>
            <w:noWrap w:val="0"/>
            <w:vAlign w:val="center"/>
          </w:tcPr>
          <w:p w14:paraId="2E6051EB">
            <w:pPr>
              <w:spacing w:line="400" w:lineRule="exact"/>
              <w:jc w:val="center"/>
              <w:rPr>
                <w:rFonts w:hint="default" w:asciiTheme="majorEastAsia" w:hAnsiTheme="majorEastAsia" w:eastAsiaTheme="majorEastAsia" w:cstheme="majorEastAsia"/>
                <w:b w:val="0"/>
                <w:bCs w:val="0"/>
                <w:w w:val="90"/>
                <w:sz w:val="24"/>
                <w:szCs w:val="24"/>
                <w:lang w:val="en-US" w:eastAsia="zh-CN"/>
              </w:rPr>
            </w:pPr>
          </w:p>
        </w:tc>
        <w:tc>
          <w:tcPr>
            <w:tcW w:w="1050" w:type="dxa"/>
            <w:noWrap w:val="0"/>
            <w:vAlign w:val="center"/>
          </w:tcPr>
          <w:p w14:paraId="398C87D2">
            <w:pPr>
              <w:spacing w:line="400" w:lineRule="exact"/>
              <w:jc w:val="center"/>
              <w:rPr>
                <w:rFonts w:hint="default" w:asciiTheme="majorEastAsia" w:hAnsiTheme="majorEastAsia" w:eastAsiaTheme="majorEastAsia" w:cstheme="majorEastAsia"/>
                <w:b w:val="0"/>
                <w:bCs w:val="0"/>
                <w:sz w:val="24"/>
                <w:szCs w:val="24"/>
                <w:lang w:val="en-US" w:eastAsia="zh-CN"/>
              </w:rPr>
            </w:pPr>
          </w:p>
        </w:tc>
        <w:tc>
          <w:tcPr>
            <w:tcW w:w="1105" w:type="dxa"/>
            <w:noWrap w:val="0"/>
            <w:vAlign w:val="center"/>
          </w:tcPr>
          <w:p w14:paraId="23D1B8C7">
            <w:pPr>
              <w:keepNext w:val="0"/>
              <w:keepLines w:val="0"/>
              <w:widowControl/>
              <w:suppressLineNumbers w:val="0"/>
              <w:jc w:val="center"/>
              <w:textAlignment w:val="center"/>
              <w:rPr>
                <w:rFonts w:hint="default" w:asciiTheme="majorEastAsia" w:hAnsiTheme="majorEastAsia" w:eastAsiaTheme="majorEastAsia" w:cstheme="majorEastAsia"/>
                <w:b w:val="0"/>
                <w:bCs w:val="0"/>
                <w:sz w:val="24"/>
                <w:szCs w:val="24"/>
                <w:lang w:val="en-US" w:eastAsia="zh-CN"/>
              </w:rPr>
            </w:pPr>
          </w:p>
        </w:tc>
      </w:tr>
      <w:tr w14:paraId="52A6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35" w:type="dxa"/>
            <w:gridSpan w:val="2"/>
            <w:noWrap w:val="0"/>
            <w:vAlign w:val="center"/>
          </w:tcPr>
          <w:p w14:paraId="559813D8">
            <w:pPr>
              <w:spacing w:line="400" w:lineRule="exact"/>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总价</w:t>
            </w:r>
          </w:p>
        </w:tc>
        <w:tc>
          <w:tcPr>
            <w:tcW w:w="7662" w:type="dxa"/>
            <w:gridSpan w:val="5"/>
            <w:noWrap w:val="0"/>
            <w:vAlign w:val="center"/>
          </w:tcPr>
          <w:p w14:paraId="5EB3B73C">
            <w:pPr>
              <w:spacing w:line="400" w:lineRule="exact"/>
              <w:rPr>
                <w:rFonts w:hint="default" w:asciiTheme="majorEastAsia" w:hAnsiTheme="majorEastAsia" w:eastAsiaTheme="majorEastAsia" w:cstheme="majorEastAsia"/>
                <w:b w:val="0"/>
                <w:bCs w:val="0"/>
                <w:sz w:val="24"/>
                <w:szCs w:val="24"/>
                <w:lang w:val="en-US" w:eastAsia="zh-CN"/>
              </w:rPr>
            </w:pPr>
          </w:p>
        </w:tc>
      </w:tr>
    </w:tbl>
    <w:p w14:paraId="37A4D4E5">
      <w:pPr>
        <w:rPr>
          <w:rFonts w:hint="eastAsia" w:asciiTheme="majorEastAsia" w:hAnsiTheme="majorEastAsia" w:eastAsiaTheme="majorEastAsia" w:cstheme="majorEastAsia"/>
          <w:sz w:val="32"/>
          <w:szCs w:val="32"/>
        </w:rPr>
      </w:pPr>
    </w:p>
    <w:p w14:paraId="2647FF45">
      <w:pPr>
        <w:jc w:val="center"/>
        <w:rPr>
          <w:rFonts w:hint="eastAsia" w:ascii="方正小标宋_GBK" w:hAnsi="方正小标宋_GBK" w:eastAsia="方正小标宋_GBK" w:cs="方正小标宋_GBK"/>
          <w:b w:val="0"/>
          <w:bCs w:val="0"/>
          <w:sz w:val="40"/>
          <w:szCs w:val="48"/>
          <w:lang w:val="en-US" w:eastAsia="zh-CN"/>
        </w:rPr>
      </w:pPr>
      <w:bookmarkStart w:id="0" w:name="_Toc14152"/>
      <w:bookmarkStart w:id="1" w:name="_Toc16750"/>
      <w:bookmarkStart w:id="2" w:name="_Toc19943"/>
      <w:bookmarkStart w:id="3" w:name="_Toc5701"/>
      <w:bookmarkStart w:id="4" w:name="_Toc27398"/>
      <w:r>
        <w:rPr>
          <w:rFonts w:hint="eastAsia" w:ascii="方正小标宋_GBK" w:hAnsi="方正小标宋_GBK" w:eastAsia="方正小标宋_GBK" w:cs="方正小标宋_GBK"/>
          <w:b w:val="0"/>
          <w:bCs w:val="0"/>
          <w:sz w:val="40"/>
          <w:szCs w:val="48"/>
          <w:lang w:val="en-US" w:eastAsia="zh-CN"/>
        </w:rPr>
        <w:t>二、新增产品参数</w:t>
      </w:r>
    </w:p>
    <w:p w14:paraId="36691FDB">
      <w:pPr>
        <w:pStyle w:val="7"/>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Times New Roman"/>
          <w:b/>
          <w:bCs/>
          <w:sz w:val="30"/>
          <w:szCs w:val="30"/>
          <w:lang w:val="en-US" w:eastAsia="zh-CN"/>
        </w:rPr>
      </w:pPr>
    </w:p>
    <w:p w14:paraId="305E9A20">
      <w:pPr>
        <w:pStyle w:val="7"/>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602" w:firstLineChars="200"/>
        <w:textAlignment w:val="auto"/>
        <w:rPr>
          <w:rFonts w:hint="eastAsia" w:ascii="宋体" w:hAnsi="宋体" w:eastAsia="宋体" w:cs="Times New Roman"/>
          <w:b/>
          <w:bCs/>
          <w:sz w:val="30"/>
          <w:szCs w:val="30"/>
          <w:lang w:val="en-US" w:eastAsia="zh-CN"/>
        </w:rPr>
      </w:pPr>
      <w:r>
        <w:rPr>
          <w:rFonts w:hint="eastAsia" w:ascii="宋体" w:hAnsi="宋体" w:eastAsia="宋体" w:cs="Times New Roman"/>
          <w:b/>
          <w:bCs/>
          <w:sz w:val="30"/>
          <w:szCs w:val="30"/>
          <w:lang w:val="en-US" w:eastAsia="zh-CN"/>
        </w:rPr>
        <w:t>（一）手动密集架</w:t>
      </w:r>
      <w:bookmarkEnd w:id="0"/>
      <w:bookmarkEnd w:id="1"/>
      <w:bookmarkEnd w:id="2"/>
      <w:bookmarkEnd w:id="3"/>
    </w:p>
    <w:bookmarkEnd w:id="4"/>
    <w:p w14:paraId="5BCFE7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b w:val="0"/>
          <w:bCs w:val="0"/>
          <w:kern w:val="0"/>
          <w:sz w:val="24"/>
          <w:szCs w:val="24"/>
        </w:rPr>
        <w:t>密集架</w:t>
      </w:r>
      <w:r>
        <w:rPr>
          <w:rFonts w:hint="eastAsia" w:ascii="宋体" w:hAnsi="宋体" w:eastAsia="宋体" w:cs="宋体"/>
          <w:kern w:val="0"/>
          <w:sz w:val="24"/>
          <w:szCs w:val="24"/>
        </w:rPr>
        <w:t>各项指标均符合中华人民共和国GB/T13667.3-2013手动密集架国家标准</w:t>
      </w:r>
      <w:r>
        <w:rPr>
          <w:rFonts w:hint="eastAsia" w:ascii="宋体" w:hAnsi="宋体" w:eastAsia="宋体" w:cs="宋体"/>
          <w:kern w:val="0"/>
          <w:sz w:val="24"/>
          <w:szCs w:val="24"/>
          <w:lang w:eastAsia="zh-CN"/>
        </w:rPr>
        <w:t>。▲提供CMA标识手动密集架检测报告，依据GB/T13667.3-2013、GB/T1927.4-2021，外观：各零部件表面应光滑、平整，不应有流挂、起粒、皱皮、露底、剥落、伤痕等缺陷；表面涂层理化性能：硬度0.6；装配要求：单根导轨：直线度应不大于0mm/m，相邻两根导轨:水平高度偏差应不大于0.1mm；载重运行，在全静载荷的情况下运行试验，架体运动自如，没有阻滞现象，手柄摇力8.8N；结构强度：试验中架体不得发生倾倒现象，试验后架体倾斜量不得大于架体总高的 1%；甲醛释放量；提供检测报告及检测发票、发票须体现检测报告名称，检测报告国家市场监督管理总局《全国认证认可信息公共服务平台》查询，发票税务总局网站查询。</w:t>
      </w:r>
    </w:p>
    <w:p w14:paraId="121654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原材料选用优质冷轧钢板，</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rPr>
        <w:t>钢板</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 xml:space="preserve">    2.底架（座）：用材厚度为3.0mm热轧钢板，压制成槽型，底盘与立柱连接采用M10X20螺栓，底架装配后的直线平行度不大于0.5mm/m，全长不大于2mm。轴承梁采用3.0mm热轧钢板，四道弯边加强，采用数控流水线一次成型加工，增强底梁整体抗扭强度和抗变形能力。</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轴承梁</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3.轨道：采用3.0mm热轧钢板，经全自动数控流水线一次精加工而成，轨道采用弯边加强工艺，整体结构设计钢性足，承载能力强，轨心采用20*20方钢。</w:t>
      </w:r>
    </w:p>
    <w:p w14:paraId="228DA399">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路轨</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4.立柱：</w:t>
      </w:r>
      <w:r>
        <w:rPr>
          <w:rFonts w:hint="eastAsia" w:ascii="宋体" w:hAnsi="宋体" w:eastAsia="宋体" w:cs="宋体"/>
          <w:color w:val="auto"/>
          <w:sz w:val="24"/>
          <w:szCs w:val="24"/>
        </w:rPr>
        <w:t>采用1.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mm优质冷轧钢板一体成型工艺，设计为半敞开式，利于立柱表面喷涂全部到位，立柱成型尺寸50X50mm，正面压制梯形凹槽，梯形凹槽底部尺寸≥23mm，上面尺寸≥30mm，深度≥1.5mm,同时梯形凹槽冲压仿古图案，不仅增强立柱承载能力也增加了立柱的美观性和新颖。侧面设有双排立柱调节孔，孔中心距58mm，允许尺寸公差±1mm</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立柱</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5.托板：</w:t>
      </w:r>
      <w:r>
        <w:rPr>
          <w:rFonts w:hint="eastAsia" w:ascii="宋体" w:hAnsi="宋体" w:eastAsia="宋体" w:cs="宋体"/>
          <w:color w:val="auto"/>
          <w:sz w:val="24"/>
          <w:szCs w:val="24"/>
        </w:rPr>
        <w:t>采用1.0mm的优质冷轧钢板，</w:t>
      </w:r>
      <w:r>
        <w:rPr>
          <w:rFonts w:hint="eastAsia" w:ascii="宋体" w:hAnsi="宋体" w:eastAsia="宋体" w:cs="宋体"/>
          <w:color w:val="auto"/>
          <w:sz w:val="24"/>
          <w:szCs w:val="24"/>
          <w:lang w:eastAsia="zh-CN"/>
        </w:rPr>
        <w:t>采用多折折弯边一体成型工艺实现，单边设有防脱落挡边，厚度为</w:t>
      </w:r>
      <w:r>
        <w:rPr>
          <w:rFonts w:hint="eastAsia" w:ascii="宋体" w:hAnsi="宋体" w:eastAsia="宋体" w:cs="宋体"/>
          <w:color w:val="auto"/>
          <w:sz w:val="24"/>
          <w:szCs w:val="24"/>
          <w:lang w:val="en-US" w:eastAsia="zh-CN"/>
        </w:rPr>
        <w:t>27±3mm，另一边</w:t>
      </w:r>
      <w:r>
        <w:rPr>
          <w:rFonts w:hint="eastAsia" w:ascii="宋体" w:hAnsi="宋体" w:eastAsia="宋体" w:cs="宋体"/>
          <w:color w:val="auto"/>
          <w:sz w:val="24"/>
          <w:szCs w:val="24"/>
          <w:lang w:eastAsia="zh-CN"/>
        </w:rPr>
        <w:t>厚度为</w:t>
      </w:r>
      <w:r>
        <w:rPr>
          <w:rFonts w:hint="eastAsia" w:ascii="宋体" w:hAnsi="宋体" w:eastAsia="宋体" w:cs="宋体"/>
          <w:color w:val="auto"/>
          <w:sz w:val="24"/>
          <w:szCs w:val="24"/>
          <w:lang w:val="en-US" w:eastAsia="zh-CN"/>
        </w:rPr>
        <w:t>23±3mm，</w:t>
      </w:r>
      <w:r>
        <w:rPr>
          <w:rFonts w:hint="eastAsia" w:ascii="宋体" w:hAnsi="宋体" w:eastAsia="宋体" w:cs="宋体"/>
          <w:color w:val="auto"/>
          <w:sz w:val="24"/>
          <w:szCs w:val="24"/>
          <w:lang w:eastAsia="zh-CN"/>
        </w:rPr>
        <w:t>搁板正面压制两条梯形凹槽，凹槽底部宽度</w:t>
      </w:r>
      <w:r>
        <w:rPr>
          <w:rFonts w:hint="eastAsia" w:ascii="宋体" w:hAnsi="宋体" w:eastAsia="宋体" w:cs="宋体"/>
          <w:color w:val="auto"/>
          <w:sz w:val="24"/>
          <w:szCs w:val="24"/>
          <w:lang w:val="en-US" w:eastAsia="zh-CN"/>
        </w:rPr>
        <w:t>12±2mm，上部宽度18±2mm</w:t>
      </w:r>
      <w:r>
        <w:rPr>
          <w:rFonts w:hint="eastAsia" w:ascii="宋体" w:hAnsi="宋体" w:eastAsia="宋体" w:cs="宋体"/>
          <w:color w:val="auto"/>
          <w:sz w:val="24"/>
          <w:szCs w:val="24"/>
          <w:lang w:eastAsia="zh-CN"/>
        </w:rPr>
        <w:t>，两侧面压制平面凹型槽，凹槽宽度</w:t>
      </w:r>
      <w:r>
        <w:rPr>
          <w:rFonts w:hint="eastAsia" w:ascii="宋体" w:hAnsi="宋体" w:eastAsia="宋体" w:cs="宋体"/>
          <w:color w:val="auto"/>
          <w:sz w:val="24"/>
          <w:szCs w:val="24"/>
          <w:lang w:val="en-US" w:eastAsia="zh-CN"/>
        </w:rPr>
        <w:t>13±2mm，</w:t>
      </w:r>
      <w:r>
        <w:rPr>
          <w:rFonts w:hint="eastAsia" w:ascii="宋体" w:hAnsi="宋体" w:eastAsia="宋体" w:cs="宋体"/>
          <w:color w:val="auto"/>
          <w:sz w:val="24"/>
          <w:szCs w:val="24"/>
          <w:lang w:eastAsia="zh-CN"/>
        </w:rPr>
        <w:t>槽内压有仿古花纹，表面光滑流畅无冲压印痕，压筋工艺不能导致</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变形，从而使</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即美观又能增加</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承重强度，而且不影响</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结构性能。</w:t>
      </w:r>
      <w:r>
        <w:rPr>
          <w:rFonts w:hint="eastAsia" w:ascii="宋体" w:hAnsi="宋体" w:eastAsia="宋体" w:cs="宋体"/>
          <w:kern w:val="0"/>
          <w:sz w:val="24"/>
          <w:szCs w:val="24"/>
          <w:lang w:val="en-US" w:eastAsia="zh-CN"/>
        </w:rPr>
        <w:t>托板</w:t>
      </w:r>
      <w:r>
        <w:rPr>
          <w:rFonts w:hint="eastAsia" w:ascii="宋体" w:hAnsi="宋体" w:eastAsia="宋体" w:cs="宋体"/>
          <w:color w:val="auto"/>
          <w:sz w:val="24"/>
          <w:szCs w:val="24"/>
          <w:lang w:eastAsia="zh-CN"/>
        </w:rPr>
        <w:t>每层承重≥80KG，满负载24小时后曲挠度≤2mm，卸载后自动恢复</w:t>
      </w:r>
      <w:r>
        <w:rPr>
          <w:rFonts w:hint="eastAsia" w:ascii="宋体" w:hAnsi="宋体" w:eastAsia="宋体" w:cs="宋体"/>
          <w:kern w:val="0"/>
          <w:sz w:val="24"/>
          <w:szCs w:val="24"/>
          <w:lang w:val="en-US" w:eastAsia="zh-CN"/>
        </w:rPr>
        <w:t>。▲提供CMA标识的托板检测报告，依据GB/T10125-2021，中性盐雾测试；环境条件：温度27.6℃，湿度57%RH；测试条件：试验室温度范围35±2℃，饱和桶温度47±2℃，盐水浓度50g/L,PH值6.5~7.2，沉降率（1.5ml±0.5）/（h.80c㎡）；测量时间≥2000h，测试后，样品表面无明显变化，涂膜无裂纹、皱纹及剥落现象、涂膜无脱落现象，耐腐蚀等级为10级，合格；提供检测报告及检测发票、发票须体现检测报告名称及测试时间、检测报告提供国家市场监督管理总局《全国认证认可信息公共服务平台》查询、发票提供</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国家税务总局全国增值税发票查验平台</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查询。</w:t>
      </w:r>
    </w:p>
    <w:p w14:paraId="7FB0A4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挂板：挂板采用双压筋处理，材料选用1.0mm的冷轧钢板冲压成型。挂板与立柱之间的连接方式采用双扣勾挂板，挂板与搁板之间也采用双扣勾，挂板与立柱连接的扣勾和挂板与搁板连接的扣勾平行度相差&lt;1mm。▲提供CMA标识的挂板检测报告，依据GB/T4336-2016，化学成分分析：测试方法:参考GB/T4336-2016，判定标准:GB/T700-2006，测试设备;火花直读光谱仪；C0.019%、Si＜0.17%、Mn0.14%、P0.016%、S＜0.008%；提供检测报告及检测发票、发票须体现检测报告名称，检测报告国家市场监督管理总局《全国认证认可信息公共服务平台》查询，发票税务总局网站查询。</w:t>
      </w:r>
    </w:p>
    <w:p w14:paraId="05E4D42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7.挡棒：</w:t>
      </w:r>
      <w:r>
        <w:rPr>
          <w:rFonts w:hint="eastAsia" w:ascii="宋体" w:hAnsi="宋体" w:eastAsia="宋体" w:cs="宋体"/>
          <w:color w:val="auto"/>
          <w:sz w:val="24"/>
          <w:szCs w:val="24"/>
          <w:lang w:eastAsia="zh-CN"/>
        </w:rPr>
        <w:t>采用</w:t>
      </w:r>
      <w:r>
        <w:rPr>
          <w:rFonts w:hint="eastAsia" w:ascii="宋体" w:hAnsi="宋体" w:eastAsia="宋体" w:cs="宋体"/>
          <w:color w:val="auto"/>
          <w:sz w:val="24"/>
          <w:szCs w:val="24"/>
        </w:rPr>
        <w:t>1.0mm的优质冷轧钢板压制成槽型，成型尺寸为15mm*15mm,四道弯边设计，三面压筋，顶面与侧面圆角过渡，圆角半径为R4，设计为自锁式档条，依靠档条和挂板之间的机械组合达到锁紧功能</w:t>
      </w:r>
      <w:r>
        <w:rPr>
          <w:rFonts w:hint="eastAsia" w:ascii="宋体" w:hAnsi="宋体" w:eastAsia="宋体" w:cs="宋体"/>
          <w:kern w:val="0"/>
          <w:sz w:val="24"/>
          <w:szCs w:val="24"/>
          <w:lang w:val="en-US" w:eastAsia="zh-CN"/>
        </w:rPr>
        <w:t>。</w:t>
      </w:r>
      <w:r>
        <w:rPr>
          <w:rFonts w:hint="eastAsia" w:ascii="宋体" w:hAnsi="宋体" w:eastAsia="宋体" w:cs="宋体"/>
          <w:sz w:val="24"/>
          <w:szCs w:val="24"/>
        </w:rPr>
        <w:t>▲提供</w:t>
      </w:r>
      <w:r>
        <w:rPr>
          <w:rFonts w:hint="eastAsia" w:ascii="宋体" w:hAnsi="宋体" w:eastAsia="宋体" w:cs="宋体"/>
          <w:kern w:val="0"/>
          <w:sz w:val="24"/>
          <w:szCs w:val="24"/>
        </w:rPr>
        <w:t>CMA标识的的</w:t>
      </w:r>
      <w:r>
        <w:rPr>
          <w:rFonts w:hint="eastAsia" w:ascii="宋体" w:hAnsi="宋体" w:eastAsia="宋体" w:cs="宋体"/>
          <w:sz w:val="24"/>
          <w:szCs w:val="24"/>
          <w:lang w:val="en-US" w:eastAsia="zh-CN"/>
        </w:rPr>
        <w:t>挡棒</w:t>
      </w:r>
      <w:r>
        <w:rPr>
          <w:rFonts w:hint="eastAsia" w:ascii="宋体" w:hAnsi="宋体" w:eastAsia="宋体" w:cs="宋体"/>
          <w:kern w:val="0"/>
          <w:sz w:val="24"/>
          <w:szCs w:val="24"/>
        </w:rPr>
        <w:t>检测报告，依据QB/T1951.2-2013、QB/T3826-1999、QB/T3832-1999，重金属：可溶性铅、可溶性镉、可溶性铬、可溶性汞均小于5mg/kg；金属表面耐腐蚀：涂层对基体的保护等级为10级，涂层本身的耐腐蚀等级为10级；</w:t>
      </w:r>
      <w:r>
        <w:rPr>
          <w:rFonts w:hint="eastAsia" w:ascii="宋体" w:hAnsi="宋体" w:eastAsia="宋体" w:cs="宋体"/>
          <w:sz w:val="24"/>
          <w:szCs w:val="24"/>
        </w:rPr>
        <w:t>提供检测报告及检测发票、发票须体现检测报告名称、检测报告提供国家市场监督管理总局《全国认证认可信息公共服务平台》查询、发票提供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国家税务总局全国增值税发票查验平台</w:t>
      </w:r>
      <w:r>
        <w:rPr>
          <w:rFonts w:hint="eastAsia" w:ascii="宋体" w:hAnsi="宋体" w:eastAsia="宋体" w:cs="宋体"/>
          <w:sz w:val="24"/>
          <w:szCs w:val="24"/>
        </w:rPr>
        <w:fldChar w:fldCharType="end"/>
      </w:r>
      <w:r>
        <w:rPr>
          <w:rFonts w:hint="eastAsia" w:ascii="宋体" w:hAnsi="宋体" w:eastAsia="宋体" w:cs="宋体"/>
          <w:sz w:val="24"/>
          <w:szCs w:val="24"/>
        </w:rPr>
        <w:t>查询</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8.门板：采用1.0mm冷轧钢板。▲提供CMA标识的门板检测报告，依据GB/T13667.3-2013、GB/T13448-2019、 GB/T700-2006，化学成分：C≤0.20%，Si≤0.35%，Mn≤1.40%，P≤0.045%，S≤0.045%；力学性能：屈服强度334MPa，抗拉强度459MPa，断后伸长率36.0%；耐污染试验：污染物为洗涤剂溶液，经24h，涂层无变色、气泡和脱落现象；提供检测报告及检测发票、发票须体现检测报告名称，检测报告国家市场监督管理总局《全国认证认可信息公共服务平台》查询，发票税务总局网站查询。</w:t>
      </w:r>
    </w:p>
    <w:p w14:paraId="5272E5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侧板：采用1.0mm优质冷轧钢板，分为上、中、下三节，中间隔色，整体设计新颖。▲提供CMA标识的侧板检测报告，依据GB/T10125-2021，中性盐雾测试；测量时间≥2000h，测试后，样品表面无明显变化，涂膜无裂纹、皱纹及剥落现象、涂膜无脱落现象，耐腐蚀等级为10级，合格；提供检测报告及检测发票、发票须体现检测报告名称及测试时间、检测报告提供国家市场监督管理总局《全国认证认可信息公共服务平台》查询、发票提供</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国家税务总局全国增值税发票查验平台</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查询。</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10.传动机构：折叠摇把，采用钢、锌合金或其它材料。传动系统：采用三分力、三变速、中间驱动方式自由挂档脱落装置。链轮为机械精加工而成,链条采用摩托车链条。滚珠轴承采用省力型。滚轮采用灰铸铁制造。</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11.前期处理及表面处理：陶化剂是以有机硅烷水溶液为主要成分对金属或非金属材料进行表面处理的过程。工艺流程为：预脱脂——主脱脂——水清洗——水清洗——陶化硅烷——陶化硅烷---水清洗--烘干或晾干——后处理。</w:t>
      </w:r>
    </w:p>
    <w:p w14:paraId="6B0050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提供CMA标识的冷轧钢板（涂层）检测报告，酸性盐雾测试方法：GB/T10125-2021，收集盐水浓度：50g/L±5g/L，盐雾箱温度：35℃±2℃，盐水沉降量：1.5mL/h±0.5mL/h，PH值：3.1~3.3，测试时间≥2000h，无腐蚀，无裂纹、无异常及起皱；提供检测报告及检测发票、发票须体现检测报告名称及测试时间、检测报告提供国家市场监督管理总局《全国认证认可信息公共服务平台》查询、发票提供</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"https://www.baidu.com/link?url=R0zui5g2K8D55ybyhBUA-zoCyjufAwAmT0T-NY_sJ62EdBwa1kxwYozZgyQjGz-iXSe12eqganPQOixziwPfm_&amp;wd=&amp;eqid=e416665d00022d20000000066524bf51" \t "https://www.baidu.com/_blank"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国家税务总局全国增值税发票查验平台</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查询。</w:t>
      </w:r>
    </w:p>
    <w:p w14:paraId="272CA8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12.传动机构</w:t>
      </w:r>
    </w:p>
    <w:p w14:paraId="11A760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自动折叠摇把：采用钢、锌合金或其它材料，手柄可以自动缓慢折叠，使用方便、美观大方、轻便灵活，高端耐用，可避免通道障碍，摇动任何一列均不会带动其他手柄转动，自动挂档，可单列或多列一起移动。</w:t>
      </w:r>
    </w:p>
    <w:p w14:paraId="24E2EF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传动系统：采用三分力、三变速、中间驱动方式自由挂档脱落装置。链轮为机械精加工而成,经锻压加工成型,回火去除应力,加工、滚点、插键槽、去毛齿、齿部经高频淬火HRC60-62。链条采用摩托车链条采用Φ8.5，节距12.7，G12420带短滚珠链。滚珠轴承采用省力型。链条破断力≥1800kg。滚轮采用铁芯的高分子材料外包轮；中轴和短轴采用Φ20mm45#冷拉实心圆钢；底盘轴承安装采用P204E级向心球高级轴承，精密度高，方向灵活，材料质量好，耐压与耐磨性能好，具有可靠的中心直线度，使架体滑动平衡、轻灵定位可靠，传动轻便灵活，摇手轻，运行平稳，性能达到和超过国家标准，即可单列移动也可多列同时移动。</w:t>
      </w:r>
    </w:p>
    <w:p w14:paraId="7DEE4B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13.制动装置，每列均装有刹车制动装置，使之做到每一列均可锁定，查阅资料和存放文件时能确保人身安全，存取更安全。每一组合团体均装有总锁装置，使之做到每个组合团体都可锁定.</w:t>
      </w:r>
    </w:p>
    <w:p w14:paraId="287123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14.密封装置，两列间的密封装置采用20mm磁性密封条。顶部有防尘板，每列架体上方安装防尘板，要求防尘、防光、防有害气体，底部有防鼠板，合拢后无缝隙，因而具有良好的防尘、防鼠、防火、防潮等功能。</w:t>
      </w:r>
    </w:p>
    <w:p w14:paraId="4BC927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15.前期处理及表面处理，采用乳化剂和碱性助洗脱脂剂脂。前期处理原料采用环氧树脂粉体涂料。其工艺过程如下：预脱脂——主脱脂——水清洗——水清洗——硅烷处理1——硅烷处理2——200℃烘干。</w:t>
      </w:r>
    </w:p>
    <w:p w14:paraId="2DAD3C6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16.制造要求</w:t>
      </w:r>
    </w:p>
    <w:p w14:paraId="636D38F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（1）凡需焊接的部位应焊接牢固，焊点均匀，焊痕高度以不大于1mm，焊点间距应控制在100mm以内，焊痕表面波纹平整，不得出现焊焦、焊穿等现象。</w:t>
      </w:r>
    </w:p>
    <w:p w14:paraId="00C5077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（2）冲压件必须平整无毛刺，不允许有裂痕，冲压尺寸的误差应控制在±2.0mm之内。</w:t>
      </w:r>
    </w:p>
    <w:p w14:paraId="19F3A9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（3）折弯必须到位，以确保工件折弯所需角度，其邻边垂直度、平行度控制在≤1.5mm内。</w:t>
      </w:r>
    </w:p>
    <w:p w14:paraId="72BA39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（4）涂层表面应平整光滑，色泽均匀一致，不允许有流挂、起粒、皱皮、露底、剥落、伤痕等外观缺陷。</w:t>
      </w:r>
    </w:p>
    <w:p w14:paraId="1C24E49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（5）各零件、组合件表面应光滑平整，不得有尖角凸起；各零件、组合件之间能保持互换性。所有标准件及紧固件均需氧化或镀锌处理。</w:t>
      </w:r>
    </w:p>
    <w:p w14:paraId="660A9CA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17.载重性能要求</w:t>
      </w:r>
    </w:p>
    <w:p w14:paraId="52D7996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（1）搁板载重：搁板负载载重80kg，最大挠度3mm，24h卸载后，不得出现裂痕及钢性变形，残余变形量不大于0.3mm。</w:t>
      </w:r>
    </w:p>
    <w:p w14:paraId="4C6D597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（2）全负载载重：每标准节在全负载（搁板均匀载重80kg）的情况下，架体、立柱不应有明显变形，架体不应产生倾倒现象。</w:t>
      </w:r>
    </w:p>
    <w:p w14:paraId="4C46E8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（3）载重运行：在全负载的情况下，各列密集架在手动操纵下，都应运行自如，不得有阻滞现象。每标准节手动摇力应不大于11.8N（每列密集架的手柄摇力为：11.8N×标准节数）。</w:t>
      </w:r>
    </w:p>
    <w:p w14:paraId="0D02C80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（4）载重稳定性：在受全部载荷二十分之一外力（沿X、Y轴两个方向的水平外力）的作用反复100次后，取消外力，架体所产生的倾斜不得大于总高的百分之一。支架、立柱不得有明显变形。</w:t>
      </w:r>
    </w:p>
    <w:p w14:paraId="7FA4BC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18.安装要求：</w:t>
      </w:r>
    </w:p>
    <w:p w14:paraId="2C0261A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（1）各部安装应牢固可靠，不允许有松动现象，各结构件和架体无明显变形，架体无倾斜现象。每标准节组合后外型尺寸（长、宽、高）的极限偏差为正负2mm。</w:t>
      </w:r>
    </w:p>
    <w:p w14:paraId="279B5D2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（2）标准架组装后，侧面板与中腰带的对缝处的间隙不大于2mm。</w:t>
      </w:r>
    </w:p>
    <w:p w14:paraId="09C6D5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（3）门缝间隙在工装保障的前提下，均匀一致在1-2mm之间。</w:t>
      </w:r>
    </w:p>
    <w:p w14:paraId="7A0B771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（4）导轨机构安装后，直线度不大于1.0mm/m。5m中不大于2.0mm。架体移动时与导向机构保持平行。</w:t>
      </w:r>
    </w:p>
    <w:p w14:paraId="70778C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（5）架体平行度：正负在1—2mm/列之间，架体垂直度：正负在1—2mm/列之间，架体纵向同步度：正负在1—2mm/列之间。</w:t>
      </w:r>
    </w:p>
    <w:p w14:paraId="0968A5DA">
      <w:pPr>
        <w:bidi w:val="0"/>
      </w:pPr>
    </w:p>
    <w:p w14:paraId="0E427296">
      <w:pPr>
        <w:bidi w:val="0"/>
      </w:pPr>
    </w:p>
    <w:p w14:paraId="6F411A12">
      <w:pPr>
        <w:pStyle w:val="7"/>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Times New Roman"/>
          <w:b/>
          <w:bCs/>
          <w:sz w:val="30"/>
          <w:szCs w:val="30"/>
          <w:lang w:val="en-US" w:eastAsia="zh-CN"/>
        </w:rPr>
      </w:pPr>
      <w:r>
        <w:rPr>
          <w:rFonts w:hint="eastAsia" w:ascii="宋体" w:hAnsi="宋体" w:eastAsia="宋体" w:cs="Times New Roman"/>
          <w:b/>
          <w:bCs/>
          <w:kern w:val="44"/>
          <w:sz w:val="30"/>
          <w:szCs w:val="30"/>
          <w:lang w:val="en-US" w:eastAsia="zh-CN" w:bidi="ar-SA"/>
        </w:rPr>
        <w:t>（二）</w:t>
      </w:r>
      <w:r>
        <w:rPr>
          <w:rFonts w:hint="eastAsia" w:ascii="宋体" w:hAnsi="宋体" w:eastAsia="宋体" w:cs="Times New Roman"/>
          <w:b/>
          <w:bCs/>
          <w:sz w:val="30"/>
          <w:szCs w:val="30"/>
          <w:lang w:val="en-US" w:eastAsia="zh-CN"/>
        </w:rPr>
        <w:t>保密柜</w:t>
      </w:r>
    </w:p>
    <w:p w14:paraId="1C6B56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材质：采用优质冷轧钢板厚度均为 1.</w:t>
      </w:r>
      <w:r>
        <w:rPr>
          <w:rFonts w:hint="eastAsia" w:ascii="宋体" w:hAnsi="宋体" w:eastAsia="宋体" w:cs="宋体"/>
          <w:sz w:val="24"/>
          <w:szCs w:val="24"/>
          <w:lang w:val="en-US" w:eastAsia="zh-CN"/>
        </w:rPr>
        <w:t>0</w:t>
      </w:r>
      <w:r>
        <w:rPr>
          <w:rFonts w:hint="eastAsia" w:ascii="宋体" w:hAnsi="宋体" w:eastAsia="宋体" w:cs="宋体"/>
          <w:sz w:val="24"/>
          <w:szCs w:val="24"/>
        </w:rPr>
        <w:t>mm。优质五金件、合页铰链、豪华</w:t>
      </w:r>
      <w:r>
        <w:rPr>
          <w:rFonts w:hint="eastAsia" w:ascii="宋体" w:hAnsi="宋体" w:eastAsia="宋体" w:cs="宋体"/>
          <w:sz w:val="24"/>
          <w:szCs w:val="24"/>
          <w:lang w:eastAsia="zh-CN"/>
        </w:rPr>
        <w:t>电子保密</w:t>
      </w:r>
      <w:r>
        <w:rPr>
          <w:rFonts w:hint="eastAsia" w:ascii="宋体" w:hAnsi="宋体" w:eastAsia="宋体" w:cs="宋体"/>
          <w:sz w:val="24"/>
          <w:szCs w:val="24"/>
        </w:rPr>
        <w:t xml:space="preserve">锁具。 </w:t>
      </w:r>
    </w:p>
    <w:p w14:paraId="183FBB7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产品结构： </w:t>
      </w:r>
      <w:r>
        <w:rPr>
          <w:rFonts w:hint="eastAsia" w:ascii="宋体" w:hAnsi="宋体" w:eastAsia="宋体" w:cs="宋体"/>
          <w:sz w:val="24"/>
          <w:szCs w:val="24"/>
        </w:rPr>
        <w:t xml:space="preserve"> 上下双层开门设计，上门内一块高度可调隔板和两个带锁抽屉，下门内一块高度可调隔板。  </w:t>
      </w:r>
    </w:p>
    <w:p w14:paraId="2341CC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前期处理及表面处理</w:t>
      </w:r>
      <w:r>
        <w:rPr>
          <w:rFonts w:hint="eastAsia" w:ascii="宋体" w:hAnsi="宋体" w:eastAsia="宋体" w:cs="宋体"/>
          <w:b/>
          <w:bCs/>
          <w:color w:val="000000"/>
          <w:sz w:val="24"/>
          <w:szCs w:val="24"/>
          <w:lang w:eastAsia="zh-CN"/>
        </w:rPr>
        <w:t>：</w:t>
      </w:r>
    </w:p>
    <w:p w14:paraId="722814A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陶化剂是以有机硅烷水溶液为主要成分对金属或非金属材料进行表面处理的过程。工艺流程为：预脱脂——主脱脂——水清洗——水清洗——陶化硅烷——陶化硅烷---水清洗--烘干或晾干——后处理。</w:t>
      </w:r>
    </w:p>
    <w:p w14:paraId="0023227A">
      <w:pPr>
        <w:bidi w:val="0"/>
        <w:rPr>
          <w:rFonts w:hint="eastAsia"/>
        </w:rPr>
      </w:pPr>
    </w:p>
    <w:p w14:paraId="7E8E34F0">
      <w:pPr>
        <w:bidi w:val="0"/>
        <w:rPr>
          <w:rFonts w:hint="eastAsia"/>
        </w:rPr>
      </w:pPr>
    </w:p>
    <w:p w14:paraId="127F67F1">
      <w:pPr>
        <w:bidi w:val="0"/>
        <w:rPr>
          <w:rFonts w:hint="eastAsia"/>
        </w:rPr>
      </w:pPr>
    </w:p>
    <w:p w14:paraId="2BFE060C">
      <w:pPr>
        <w:bidi w:val="0"/>
        <w:rPr>
          <w:rFonts w:hint="eastAsia"/>
        </w:rPr>
      </w:pPr>
    </w:p>
    <w:p w14:paraId="09586E81">
      <w:pPr>
        <w:bidi w:val="0"/>
        <w:rPr>
          <w:rFonts w:hint="eastAsia"/>
        </w:rPr>
      </w:pPr>
    </w:p>
    <w:p w14:paraId="59AB6D60">
      <w:pPr>
        <w:bidi w:val="0"/>
        <w:rPr>
          <w:rFonts w:hint="eastAsia"/>
        </w:rPr>
      </w:pPr>
    </w:p>
    <w:p w14:paraId="318E9FB6">
      <w:pPr>
        <w:bidi w:val="0"/>
        <w:rPr>
          <w:rFonts w:hint="eastAsia"/>
        </w:rPr>
      </w:pPr>
    </w:p>
    <w:p w14:paraId="31C891B7">
      <w:pPr>
        <w:bidi w:val="0"/>
        <w:rPr>
          <w:rFonts w:hint="eastAsia"/>
        </w:rPr>
      </w:pPr>
    </w:p>
    <w:p w14:paraId="136BFBE5">
      <w:pPr>
        <w:bidi w:val="0"/>
        <w:rPr>
          <w:rFonts w:hint="eastAsia"/>
        </w:rPr>
      </w:pPr>
    </w:p>
    <w:p w14:paraId="78B725E0">
      <w:pPr>
        <w:bidi w:val="0"/>
        <w:rPr>
          <w:rFonts w:hint="eastAsia"/>
        </w:rPr>
      </w:pPr>
    </w:p>
    <w:p w14:paraId="44212906">
      <w:pPr>
        <w:bidi w:val="0"/>
        <w:rPr>
          <w:rFonts w:hint="eastAsia"/>
        </w:rPr>
      </w:pPr>
    </w:p>
    <w:p w14:paraId="49618C3E">
      <w:pPr>
        <w:bidi w:val="0"/>
        <w:rPr>
          <w:rFonts w:hint="eastAsia"/>
        </w:rPr>
      </w:pPr>
    </w:p>
    <w:p w14:paraId="6EC9A1DF">
      <w:pPr>
        <w:pStyle w:val="7"/>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宋体" w:hAnsi="宋体" w:eastAsia="宋体" w:cs="Times New Roman"/>
          <w:b/>
          <w:bCs/>
          <w:sz w:val="30"/>
          <w:szCs w:val="30"/>
          <w:lang w:val="en-US" w:eastAsia="zh-CN"/>
        </w:rPr>
      </w:pPr>
      <w:bookmarkStart w:id="5" w:name="_Toc5808"/>
      <w:r>
        <w:rPr>
          <w:rFonts w:hint="eastAsia" w:ascii="宋体" w:hAnsi="宋体" w:eastAsia="宋体" w:cs="Times New Roman"/>
          <w:b/>
          <w:bCs/>
          <w:kern w:val="44"/>
          <w:sz w:val="30"/>
          <w:szCs w:val="30"/>
          <w:lang w:val="en-US" w:eastAsia="zh-CN" w:bidi="ar-SA"/>
        </w:rPr>
        <w:t>（三）</w:t>
      </w:r>
      <w:r>
        <w:rPr>
          <w:rFonts w:hint="eastAsia" w:ascii="宋体" w:hAnsi="宋体" w:eastAsia="宋体" w:cs="Times New Roman"/>
          <w:b/>
          <w:bCs/>
          <w:sz w:val="30"/>
          <w:szCs w:val="30"/>
          <w:lang w:val="en-US" w:eastAsia="zh-CN"/>
        </w:rPr>
        <w:t>底图</w:t>
      </w:r>
      <w:bookmarkEnd w:id="5"/>
      <w:r>
        <w:rPr>
          <w:rFonts w:hint="eastAsia" w:ascii="宋体" w:hAnsi="宋体" w:eastAsia="宋体" w:cs="Times New Roman"/>
          <w:b/>
          <w:bCs/>
          <w:sz w:val="30"/>
          <w:szCs w:val="30"/>
          <w:lang w:val="en-US" w:eastAsia="zh-CN"/>
        </w:rPr>
        <w:t>柜</w:t>
      </w:r>
    </w:p>
    <w:p w14:paraId="324C602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（1）底架（座）：底架为分段组合式，整体焊接而成，运行平稳且加工精度高，具有对接互换性，便于运输和安装。用材厚度为</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mm</w:t>
      </w:r>
      <w:r>
        <w:rPr>
          <w:rFonts w:hint="eastAsia" w:ascii="宋体" w:hAnsi="宋体" w:eastAsia="宋体" w:cs="宋体"/>
          <w:color w:val="000000"/>
          <w:sz w:val="24"/>
          <w:szCs w:val="24"/>
          <w:lang w:eastAsia="zh-CN"/>
        </w:rPr>
        <w:t>冷轧</w:t>
      </w:r>
      <w:r>
        <w:rPr>
          <w:rFonts w:hint="eastAsia" w:ascii="宋体" w:hAnsi="宋体" w:eastAsia="宋体" w:cs="宋体"/>
          <w:color w:val="000000"/>
          <w:sz w:val="24"/>
          <w:szCs w:val="24"/>
        </w:rPr>
        <w:t>钢板，压制成槽型，并双弯边加强</w:t>
      </w:r>
      <w:r>
        <w:rPr>
          <w:rFonts w:hint="eastAsia" w:ascii="宋体" w:hAnsi="宋体" w:eastAsia="宋体" w:cs="宋体"/>
          <w:color w:val="000000"/>
          <w:kern w:val="0"/>
          <w:sz w:val="24"/>
          <w:szCs w:val="24"/>
        </w:rPr>
        <w:t>。</w:t>
      </w:r>
    </w:p>
    <w:p w14:paraId="0AA90DB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）立柱：采用1.5mm优质冷轧钢板一体成型工艺，增强立柱承载能力也增加了立柱的美观性和新颖。</w:t>
      </w:r>
    </w:p>
    <w:p w14:paraId="6E4F30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top"/>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eastAsia="zh-CN" w:bidi="ar"/>
        </w:rPr>
        <w:t>）</w:t>
      </w:r>
      <w:r>
        <w:rPr>
          <w:rFonts w:hint="eastAsia" w:ascii="宋体" w:hAnsi="宋体" w:eastAsia="宋体" w:cs="宋体"/>
          <w:sz w:val="24"/>
          <w:szCs w:val="24"/>
        </w:rPr>
        <w:t>抽屉面板，抽屉材料采用1.0mm冷轧钢板，抽屉配三节精密滚珠导轨。架体为双柱式结构，架体强度高，架体稳定。摇动时无松动摇晃现象，边缘光滑无毛刺、焊接点打磨平整，表面喷涂光滑均匀平整。</w:t>
      </w:r>
    </w:p>
    <w:p w14:paraId="753C72A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）侧板：采用厚度1.0mm优质冷轧钢板折弯成型</w:t>
      </w:r>
      <w:r>
        <w:rPr>
          <w:rFonts w:hint="eastAsia" w:ascii="宋体" w:hAnsi="宋体" w:eastAsia="宋体" w:cs="宋体"/>
          <w:color w:val="000000"/>
          <w:kern w:val="0"/>
          <w:sz w:val="24"/>
          <w:szCs w:val="24"/>
          <w:lang w:eastAsia="zh-CN" w:bidi="ar"/>
        </w:rPr>
        <w:t>，采两边圆角过渡工艺，</w:t>
      </w:r>
      <w:r>
        <w:rPr>
          <w:rFonts w:hint="eastAsia" w:ascii="宋体" w:hAnsi="宋体" w:eastAsia="宋体" w:cs="宋体"/>
          <w:color w:val="000000"/>
          <w:kern w:val="0"/>
          <w:sz w:val="24"/>
          <w:szCs w:val="24"/>
          <w:lang w:bidi="ar"/>
        </w:rPr>
        <w:t>整体设计新颖，造型美观。</w:t>
      </w:r>
    </w:p>
    <w:p w14:paraId="72B79E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前期处理及表面处理</w:t>
      </w:r>
      <w:r>
        <w:rPr>
          <w:rFonts w:hint="eastAsia" w:ascii="宋体" w:hAnsi="宋体" w:eastAsia="宋体" w:cs="宋体"/>
          <w:b/>
          <w:bCs/>
          <w:color w:val="000000"/>
          <w:sz w:val="24"/>
          <w:szCs w:val="24"/>
          <w:lang w:eastAsia="zh-CN"/>
        </w:rPr>
        <w:t>：</w:t>
      </w:r>
    </w:p>
    <w:p w14:paraId="1165893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陶化剂是以有机硅烷水溶液为主要成分对金属或非金属材料进行表面处理的过程。工艺流程为：预脱脂——主脱脂——水清洗——水清洗——陶化硅烷——陶化硅烷---水清洗--烘干或晾干——后处理。</w:t>
      </w:r>
    </w:p>
    <w:p w14:paraId="0A14B2BB"/>
    <w:p w14:paraId="4F10E953"/>
    <w:p w14:paraId="0324C7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A1B6C"/>
    <w:rsid w:val="117379E9"/>
    <w:rsid w:val="1F7C464D"/>
    <w:rsid w:val="229A1B6C"/>
    <w:rsid w:val="23F91DA2"/>
    <w:rsid w:val="3E812E1F"/>
    <w:rsid w:val="4ADB1C0D"/>
    <w:rsid w:val="4E0D4F18"/>
    <w:rsid w:val="504B00CC"/>
    <w:rsid w:val="59101BFD"/>
    <w:rsid w:val="5CFC6266"/>
    <w:rsid w:val="69BF098B"/>
    <w:rsid w:val="6DCD0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9">
    <w:name w:val="heading 4"/>
    <w:basedOn w:val="1"/>
    <w:next w:val="1"/>
    <w:qFormat/>
    <w:uiPriority w:val="0"/>
    <w:pPr>
      <w:keepNext/>
      <w:keepLines/>
      <w:widowControl/>
      <w:spacing w:line="360" w:lineRule="auto"/>
      <w:ind w:firstLine="0" w:firstLineChars="0"/>
      <w:jc w:val="center"/>
      <w:outlineLvl w:val="3"/>
    </w:pPr>
    <w:rPr>
      <w:rFonts w:ascii="Cambria" w:hAnsi="Cambria"/>
      <w:b/>
      <w:bCs/>
      <w:kern w:val="0"/>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sz w:val="21"/>
    </w:rPr>
  </w:style>
  <w:style w:type="paragraph" w:styleId="3">
    <w:name w:val="Body Text"/>
    <w:basedOn w:val="1"/>
    <w:next w:val="1"/>
    <w:qFormat/>
    <w:uiPriority w:val="1"/>
    <w:rPr>
      <w:rFonts w:ascii="宋体" w:hAnsi="宋体" w:eastAsia="宋体" w:cs="宋体"/>
      <w:sz w:val="24"/>
      <w:szCs w:val="24"/>
      <w:lang w:val="zh-CN" w:eastAsia="zh-CN" w:bidi="zh-CN"/>
    </w:rPr>
  </w:style>
  <w:style w:type="paragraph" w:styleId="4">
    <w:name w:val="Body Text First Indent 2"/>
    <w:basedOn w:val="5"/>
    <w:next w:val="1"/>
    <w:qFormat/>
    <w:uiPriority w:val="0"/>
    <w:pPr>
      <w:topLinePunct/>
      <w:autoSpaceDE w:val="0"/>
      <w:autoSpaceDN w:val="0"/>
      <w:adjustRightInd w:val="0"/>
      <w:snapToGrid w:val="0"/>
      <w:spacing w:afterLines="25" w:line="300" w:lineRule="auto"/>
      <w:ind w:firstLine="200" w:firstLineChars="200"/>
    </w:pPr>
    <w:rPr>
      <w:rFonts w:ascii="宋体"/>
      <w:kern w:val="0"/>
      <w:sz w:val="24"/>
      <w:szCs w:val="20"/>
      <w:lang w:val="zh-CN"/>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5475</Words>
  <Characters>6373</Characters>
  <Lines>0</Lines>
  <Paragraphs>0</Paragraphs>
  <TotalTime>7</TotalTime>
  <ScaleCrop>false</ScaleCrop>
  <LinksUpToDate>false</LinksUpToDate>
  <CharactersWithSpaces>6411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2025-07-21T09:46:00Z</dcterms:created>
  <dc:creator>敬亭山</dc:creator>
  <cp:lastModifiedBy>刘为开</cp:lastModifiedBy>
  <dcterms:modified xsi:type="dcterms:W3CDTF">2025-07-22T10:26:37Z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7BB0AC129CC246999D2681F8C3CD3B08_13</vt:lpwstr>
  </property>
  <property fmtid="{D5CDD505-2E9C-101B-9397-08002B2CF9AE}" pid="4" name="KSOTemplateDocerSaveRecord">
    <vt:lpwstr>eyJoZGlkIjoiNjdjYjkzZmE1MmNlZjA0Nzg0ZjRiNWUzNDJiMzc4YjMiLCJ1c2VySWQiOiI0NDY2OTQyNjUifQ==</vt:lpwstr>
  </property>
</Properties>
</file>